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320C" w:rsidP="00D3320C" w:rsidRDefault="00D3320C" w14:paraId="6CBA2E35" w14:textId="77777777">
      <w:r w:rsidRPr="194BAA32">
        <w:rPr>
          <w:lang w:eastAsia="fr-FR"/>
        </w:rPr>
        <w:t xml:space="preserve">En </w:t>
      </w:r>
      <w:r>
        <w:rPr>
          <w:lang w:eastAsia="fr-FR"/>
        </w:rPr>
        <w:t>tant que</w:t>
      </w:r>
      <w:r w:rsidRPr="194BAA32">
        <w:rPr>
          <w:lang w:eastAsia="fr-FR"/>
        </w:rPr>
        <w:t xml:space="preserve"> </w:t>
      </w:r>
      <w:r>
        <w:rPr>
          <w:lang w:eastAsia="fr-FR"/>
        </w:rPr>
        <w:t>FS</w:t>
      </w:r>
      <w:r w:rsidRPr="194BAA32">
        <w:rPr>
          <w:lang w:eastAsia="fr-FR"/>
        </w:rPr>
        <w:t xml:space="preserve">, </w:t>
      </w:r>
      <w:r>
        <w:rPr>
          <w:lang w:eastAsia="fr-FR"/>
        </w:rPr>
        <w:t>j</w:t>
      </w:r>
      <w:r>
        <w:t xml:space="preserve">e dois me conformer </w:t>
      </w:r>
      <w:r w:rsidRPr="00791314">
        <w:rPr>
          <w:rFonts w:eastAsiaTheme="minorEastAsia"/>
        </w:rPr>
        <w:t>à la publication "OWASP Top 10</w:t>
      </w:r>
      <w:r w:rsidRPr="003B0A4D">
        <w:rPr>
          <w:rFonts w:eastAsiaTheme="minorEastAsia"/>
        </w:rPr>
        <w:t>"</w:t>
      </w:r>
      <w:r>
        <w:rPr>
          <w:rFonts w:eastAsiaTheme="minorEastAsia"/>
        </w:rPr>
        <w:t xml:space="preserve"> et </w:t>
      </w:r>
      <w:r w:rsidRPr="63291672">
        <w:rPr>
          <w:rFonts w:eastAsiaTheme="minorEastAsia"/>
        </w:rPr>
        <w:t xml:space="preserve">documenter les mesures </w:t>
      </w:r>
      <w:r>
        <w:rPr>
          <w:rFonts w:eastAsiaTheme="minorEastAsia"/>
        </w:rPr>
        <w:t xml:space="preserve">mises en place. </w:t>
      </w:r>
      <w:r w:rsidRPr="003E0291">
        <w:t>Dans le cas où une mesure préconisée ne peut pas être mise en œuvre, la documentation présente une justification, explicite les risques qui en découlent et propose des mesures palliatives à l'attention des opérateurs du système</w:t>
      </w:r>
      <w:r>
        <w:t>.</w:t>
      </w:r>
    </w:p>
    <w:tbl>
      <w:tblPr>
        <w:tblStyle w:val="TableGrid"/>
        <w:tblW w:w="1021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2553"/>
        <w:gridCol w:w="2554"/>
        <w:gridCol w:w="2554"/>
        <w:gridCol w:w="2554"/>
      </w:tblGrid>
      <w:tr w:rsidR="00D3320C" w:rsidTr="002F3CE9" w14:paraId="31704794" w14:textId="77777777">
        <w:trPr>
          <w:trHeight w:val="416"/>
        </w:trPr>
        <w:tc>
          <w:tcPr>
            <w:tcW w:w="10215" w:type="dxa"/>
            <w:gridSpan w:val="4"/>
            <w:shd w:val="clear" w:color="auto" w:fill="D9D9D9" w:themeFill="background1" w:themeFillShade="D9"/>
            <w:vAlign w:val="center"/>
          </w:tcPr>
          <w:p w:rsidR="00D3320C" w:rsidP="002F3CE9" w:rsidRDefault="00D3320C" w14:paraId="3D8BA61C" w14:textId="77777777">
            <w:pPr>
              <w:spacing w:after="0" w:line="276" w:lineRule="auto"/>
              <w:jc w:val="center"/>
              <w:rPr>
                <w:rFonts w:eastAsiaTheme="minorEastAsia"/>
                <w:b/>
                <w:bCs/>
              </w:rPr>
            </w:pPr>
            <w:r w:rsidRPr="000B4B62">
              <w:rPr>
                <w:rFonts w:eastAsiaTheme="minorEastAsia"/>
                <w:b/>
                <w:color w:val="auto"/>
              </w:rPr>
              <w:t>E</w:t>
            </w:r>
            <w:r>
              <w:rPr>
                <w:rFonts w:eastAsiaTheme="minorEastAsia"/>
                <w:b/>
              </w:rPr>
              <w:t>XI EDC PSC 127</w:t>
            </w:r>
          </w:p>
        </w:tc>
      </w:tr>
      <w:tr w:rsidRPr="005A4738" w:rsidR="00D3320C" w:rsidTr="002F3CE9" w14:paraId="033F32CD" w14:textId="77777777">
        <w:trPr>
          <w:trHeight w:val="416"/>
        </w:trPr>
        <w:tc>
          <w:tcPr>
            <w:tcW w:w="2553" w:type="dxa"/>
            <w:shd w:val="clear" w:color="auto" w:fill="D9D9D9" w:themeFill="background1" w:themeFillShade="D9"/>
            <w:vAlign w:val="center"/>
          </w:tcPr>
          <w:p w:rsidRPr="005A4738" w:rsidR="00D3320C" w:rsidP="002F3CE9" w:rsidRDefault="00D3320C" w14:paraId="3B76D694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Opérateur de Service Utilisateur</w:t>
            </w:r>
            <w:r w:rsidRPr="194BAA32">
              <w:rPr>
                <w:rFonts w:eastAsiaTheme="minorEastAsia"/>
                <w:b/>
                <w:bCs/>
              </w:rPr>
              <w:t xml:space="preserve"> 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:rsidRPr="005A4738" w:rsidR="00D3320C" w:rsidP="002F3CE9" w:rsidRDefault="00D3320C" w14:paraId="5912AF20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:rsidRPr="005A4738" w:rsidR="00D3320C" w:rsidP="002F3CE9" w:rsidRDefault="00D3320C" w14:paraId="3CD543C7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Opérateur de Service Proxy e-santé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:rsidRPr="005A4738" w:rsidR="00D3320C" w:rsidP="002F3CE9" w:rsidRDefault="00D3320C" w14:paraId="5C960B5F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D3320C" w:rsidTr="002F3CE9" w14:paraId="458FD1A3" w14:textId="77777777">
        <w:trPr>
          <w:trHeight w:val="3249"/>
        </w:trPr>
        <w:tc>
          <w:tcPr>
            <w:tcW w:w="10215" w:type="dxa"/>
            <w:gridSpan w:val="4"/>
            <w:shd w:val="clear" w:color="auto" w:fill="D9D9D9" w:themeFill="background1" w:themeFillShade="D9"/>
            <w:vAlign w:val="center"/>
          </w:tcPr>
          <w:p w:rsidR="00D3320C" w:rsidP="002F3CE9" w:rsidRDefault="00D3320C" w14:paraId="2A8C9C8B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 w:rsidRPr="0086101C">
              <w:rPr>
                <w:rFonts w:eastAsia="Times New Roman" w:cs="Arial"/>
                <w:i/>
                <w:lang w:eastAsia="fr-FR"/>
              </w:rPr>
              <w:t>[</w:t>
            </w:r>
            <w:r w:rsidRPr="00810FE4">
              <w:rPr>
                <w:rFonts w:eastAsia="Times New Roman" w:cs="Arial"/>
                <w:i/>
                <w:iCs/>
                <w:lang w:eastAsia="fr-FR"/>
              </w:rPr>
              <w:t xml:space="preserve">Il est attendu que 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le 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 xml:space="preserve">Fournisseur de Service </w:t>
            </w:r>
            <w:r>
              <w:rPr>
                <w:rFonts w:eastAsiaTheme="minorEastAsia"/>
                <w:i/>
                <w:iCs/>
              </w:rPr>
              <w:t>décrive les actions mises en place pour faire face aux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 xml:space="preserve"> risques 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le concernant </w:t>
            </w:r>
            <w:r>
              <w:rPr>
                <w:rFonts w:eastAsiaTheme="minorEastAsia"/>
                <w:i/>
                <w:iCs/>
              </w:rPr>
              <w:t>présentés dans</w:t>
            </w:r>
            <w:r w:rsidRPr="005955DF">
              <w:rPr>
                <w:rFonts w:eastAsiaTheme="minorEastAsia"/>
                <w:i/>
                <w:iCs/>
              </w:rPr>
              <w:t xml:space="preserve"> la dernière publication « OWASP Top 10 »</w:t>
            </w:r>
            <w:r>
              <w:rPr>
                <w:rFonts w:eastAsiaTheme="minorEastAsia"/>
                <w:i/>
                <w:iCs/>
              </w:rPr>
              <w:t xml:space="preserve">. Il devra le faire 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 xml:space="preserve">à l’aide d’un tableau comprenant 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pour chaque risque mentionné par les standards 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>une colonne dédié</w:t>
            </w:r>
            <w:r>
              <w:rPr>
                <w:rFonts w:eastAsia="Times New Roman" w:cs="Arial"/>
                <w:i/>
                <w:iCs/>
                <w:lang w:eastAsia="fr-FR"/>
              </w:rPr>
              <w:t>e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 xml:space="preserve"> à chaque élément suivant : </w:t>
            </w:r>
          </w:p>
          <w:p w:rsidR="00D3320C" w:rsidP="00D3320C" w:rsidRDefault="00D3320C" w14:paraId="6F5E5191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 xml:space="preserve">La 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>description du risque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 ; </w:t>
            </w:r>
          </w:p>
          <w:p w:rsidR="00D3320C" w:rsidP="00D3320C" w:rsidRDefault="00D3320C" w14:paraId="106C2D0D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Les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 xml:space="preserve"> mesures mises en place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 (pour donner suite aux recommandations du standards) ;</w:t>
            </w:r>
          </w:p>
          <w:p w:rsidR="00D3320C" w:rsidP="00D3320C" w:rsidRDefault="00D3320C" w14:paraId="21090B7D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 xml:space="preserve">La 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>date de mise en place ou de mise à jour</w:t>
            </w:r>
            <w:r>
              <w:rPr>
                <w:rFonts w:eastAsia="Times New Roman" w:cs="Arial"/>
                <w:i/>
                <w:iCs/>
                <w:lang w:eastAsia="fr-FR"/>
              </w:rPr>
              <w:t> ;</w:t>
            </w:r>
          </w:p>
          <w:p w:rsidR="00D3320C" w:rsidP="00D3320C" w:rsidRDefault="00D3320C" w14:paraId="730A83FD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Dans le cas où les mesures ne peuvent pas être mises en place, les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 xml:space="preserve"> risques induits et acceptés</w:t>
            </w:r>
            <w:r>
              <w:rPr>
                <w:rFonts w:eastAsia="Times New Roman" w:cs="Arial"/>
                <w:i/>
                <w:iCs/>
                <w:lang w:eastAsia="fr-FR"/>
              </w:rPr>
              <w:t> ;</w:t>
            </w:r>
          </w:p>
          <w:p w:rsidRPr="005955DF" w:rsidR="00D3320C" w:rsidP="00D3320C" w:rsidRDefault="00D3320C" w14:paraId="757668FC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 xml:space="preserve">Dans le cas où les mesures ne peuvent pas être mises en place, les 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>mesures palliatives proposées</w:t>
            </w:r>
            <w:r>
              <w:rPr>
                <w:rFonts w:eastAsia="Times New Roman" w:cs="Arial"/>
                <w:i/>
                <w:iCs/>
                <w:lang w:eastAsia="fr-FR"/>
              </w:rPr>
              <w:t>.</w:t>
            </w:r>
          </w:p>
          <w:p w:rsidR="00D3320C" w:rsidP="002F3CE9" w:rsidRDefault="00D3320C" w14:paraId="5AA670EC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D3320C" w:rsidP="002F3CE9" w:rsidRDefault="00D3320C" w14:paraId="3E4704CC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Pr="00D3320C" w:rsidR="0002101A" w:rsidP="00D3320C" w:rsidRDefault="0002101A" w14:paraId="655E87B5" w14:textId="77777777"/>
    <w:sectPr w:rsidRPr="00D3320C" w:rsidR="0002101A" w:rsidSect="00AA5D5C">
      <w:headerReference w:type="default" r:id="rId11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  <w:footerReference w:type="default" r:id="Rc9576cde612746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917F3" w:rsidP="00E63E4A" w:rsidRDefault="002917F3" w14:paraId="169F87C0" w14:textId="77777777">
      <w:pPr>
        <w:spacing w:after="0" w:line="240" w:lineRule="auto"/>
      </w:pPr>
      <w:r>
        <w:separator/>
      </w:r>
    </w:p>
  </w:endnote>
  <w:endnote w:type="continuationSeparator" w:id="0">
    <w:p w:rsidR="002917F3" w:rsidP="00E63E4A" w:rsidRDefault="002917F3" w14:paraId="678F0E2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30CD513" w:rsidTr="530CD513" w14:paraId="27B63EA3">
      <w:trPr>
        <w:trHeight w:val="300"/>
      </w:trPr>
      <w:tc>
        <w:tcPr>
          <w:tcW w:w="3400" w:type="dxa"/>
          <w:tcMar/>
        </w:tcPr>
        <w:p w:rsidR="530CD513" w:rsidP="530CD513" w:rsidRDefault="530CD513" w14:paraId="7848F52C" w14:textId="20273700">
          <w:pPr>
            <w:pStyle w:val="Header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530CD513" w:rsidP="530CD513" w:rsidRDefault="530CD513" w14:paraId="0D7FE404" w14:textId="0C9AC85A">
          <w:pPr>
            <w:pStyle w:val="Header"/>
            <w:bidi w:val="0"/>
            <w:jc w:val="center"/>
          </w:pPr>
        </w:p>
      </w:tc>
      <w:tc>
        <w:tcPr>
          <w:tcW w:w="3400" w:type="dxa"/>
          <w:tcMar/>
        </w:tcPr>
        <w:p w:rsidR="530CD513" w:rsidP="530CD513" w:rsidRDefault="530CD513" w14:paraId="199FD0BA" w14:textId="3DC5E8DC">
          <w:pPr>
            <w:pStyle w:val="Header"/>
            <w:bidi w:val="0"/>
            <w:ind w:right="-115"/>
            <w:jc w:val="right"/>
          </w:pPr>
        </w:p>
      </w:tc>
    </w:tr>
  </w:tbl>
  <w:p w:rsidR="530CD513" w:rsidP="530CD513" w:rsidRDefault="530CD513" w14:paraId="16242A66" w14:textId="6FC814C1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917F3" w:rsidP="00E63E4A" w:rsidRDefault="002917F3" w14:paraId="743F0F66" w14:textId="77777777">
      <w:pPr>
        <w:spacing w:after="0" w:line="240" w:lineRule="auto"/>
      </w:pPr>
      <w:r>
        <w:separator/>
      </w:r>
    </w:p>
  </w:footnote>
  <w:footnote w:type="continuationSeparator" w:id="0">
    <w:p w:rsidR="002917F3" w:rsidP="00E63E4A" w:rsidRDefault="002917F3" w14:paraId="28DAC38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57712FB8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530CD513" w:rsidRDefault="00C24EE9" w14:paraId="6D976456" w14:textId="46E17D2F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57712FB8" w:rsidR="57712FB8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57712FB8" w:rsidR="57712FB8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57712FB8" w:rsidR="57712FB8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57712FB8" w:rsidR="57712FB8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57712FB8" w:rsidR="57712FB8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00AA5D5C" w:rsidRDefault="00C24EE9" w14:paraId="63F11C18" w14:textId="27EC3811">
          <w:pPr>
            <w:jc w:val="center"/>
            <w:rPr>
              <w:color w:val="1F497D" w:themeColor="text2"/>
              <w:sz w:val="24"/>
            </w:rPr>
          </w:pPr>
          <w:r>
            <w:rPr>
              <w:color w:val="1F497D" w:themeColor="text2"/>
              <w:sz w:val="24"/>
            </w:rPr>
            <w:t xml:space="preserve">Chapitre </w:t>
          </w:r>
          <w:r w:rsidR="00D3320C">
            <w:rPr>
              <w:color w:val="1F497D" w:themeColor="text2"/>
              <w:sz w:val="24"/>
            </w:rPr>
            <w:t>2</w:t>
          </w:r>
          <w:r>
            <w:rPr>
              <w:color w:val="1F497D" w:themeColor="text2"/>
              <w:sz w:val="24"/>
            </w:rPr>
            <w:t xml:space="preserve"> : </w:t>
          </w:r>
          <w:r w:rsidR="00D3320C">
            <w:rPr>
              <w:color w:val="1F497D" w:themeColor="text2"/>
              <w:sz w:val="24"/>
            </w:rPr>
            <w:t>Process de développement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917F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D5552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3320C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530CD513"/>
    <w:rsid w:val="5771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3320C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c9576cde6127464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3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9176B-09F4-490B-B31B-3AA0B2908D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68</cp:revision>
  <dcterms:created xsi:type="dcterms:W3CDTF">2024-11-26T10:53:00Z</dcterms:created>
  <dcterms:modified xsi:type="dcterms:W3CDTF">2024-12-09T15:26:51Z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